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F42" w:rsidRDefault="00F9142A" w:rsidP="00D05F42">
      <w:pPr>
        <w:spacing w:after="0"/>
        <w:jc w:val="center"/>
        <w:rPr>
          <w:rFonts w:ascii="Times New Roman" w:hAnsi="Times New Roman" w:cs="Times New Roman"/>
          <w:b/>
          <w:sz w:val="24"/>
        </w:rPr>
      </w:pPr>
      <w:r>
        <w:rPr>
          <w:rFonts w:ascii="Times New Roman" w:hAnsi="Times New Roman"/>
          <w:b/>
          <w:sz w:val="24"/>
        </w:rPr>
        <w:t xml:space="preserve">Пакет аясында негізгі төлем карталарына кешенді қызмет көрсету үшін комиссия бөлігінде </w:t>
      </w:r>
      <w:r w:rsidR="00D05F42">
        <w:rPr>
          <w:rFonts w:ascii="Times New Roman" w:hAnsi="Times New Roman"/>
          <w:b/>
          <w:sz w:val="24"/>
        </w:rPr>
        <w:t xml:space="preserve">Premier қызметтер пакеті бойынша Акция ережелері </w:t>
      </w:r>
    </w:p>
    <w:p w:rsidR="00370E89" w:rsidRDefault="00D05F42" w:rsidP="00D05F42">
      <w:pPr>
        <w:spacing w:after="0"/>
        <w:jc w:val="center"/>
        <w:rPr>
          <w:rFonts w:ascii="Times New Roman" w:hAnsi="Times New Roman" w:cs="Times New Roman"/>
          <w:b/>
          <w:sz w:val="24"/>
        </w:rPr>
      </w:pPr>
      <w:r>
        <w:rPr>
          <w:rFonts w:ascii="Times New Roman" w:hAnsi="Times New Roman"/>
          <w:b/>
          <w:sz w:val="24"/>
        </w:rPr>
        <w:t xml:space="preserve"> </w:t>
      </w:r>
      <w:r w:rsidR="00F9142A">
        <w:rPr>
          <w:rFonts w:ascii="Times New Roman" w:hAnsi="Times New Roman"/>
          <w:b/>
          <w:sz w:val="24"/>
        </w:rPr>
        <w:t>(бұдан әрі - “Ережелер”)</w:t>
      </w:r>
    </w:p>
    <w:p w:rsidR="00370E89" w:rsidRDefault="00370E89" w:rsidP="00370E89">
      <w:pPr>
        <w:spacing w:after="0" w:line="240" w:lineRule="auto"/>
        <w:jc w:val="both"/>
        <w:rPr>
          <w:rFonts w:ascii="Times New Roman" w:hAnsi="Times New Roman" w:cs="Times New Roman"/>
          <w:b/>
          <w:sz w:val="24"/>
          <w:szCs w:val="24"/>
        </w:rPr>
      </w:pPr>
    </w:p>
    <w:p w:rsidR="00370E89" w:rsidRPr="00CB4237" w:rsidRDefault="00370E89" w:rsidP="00370E89">
      <w:pPr>
        <w:spacing w:after="0" w:line="240" w:lineRule="auto"/>
        <w:jc w:val="both"/>
        <w:rPr>
          <w:rFonts w:ascii="Times New Roman" w:hAnsi="Times New Roman" w:cs="Times New Roman"/>
          <w:b/>
          <w:sz w:val="24"/>
          <w:szCs w:val="24"/>
        </w:rPr>
      </w:pPr>
      <w:r>
        <w:rPr>
          <w:rFonts w:ascii="Times New Roman" w:hAnsi="Times New Roman"/>
          <w:b/>
          <w:sz w:val="24"/>
        </w:rPr>
        <w:t>Акция</w:t>
      </w:r>
      <w:r>
        <w:rPr>
          <w:rFonts w:ascii="Times New Roman" w:hAnsi="Times New Roman"/>
          <w:sz w:val="24"/>
        </w:rPr>
        <w:t xml:space="preserve"> – Premier қызметтер пакеті бойынша «Bereke Bank» АҚ өткізетін маркетингтік акциясы (бұдан әрі – «Акция»).</w:t>
      </w:r>
    </w:p>
    <w:p w:rsidR="00370E89" w:rsidRPr="00D82B8D" w:rsidRDefault="00370E89" w:rsidP="00370E89">
      <w:pPr>
        <w:spacing w:after="0" w:line="240" w:lineRule="auto"/>
        <w:jc w:val="both"/>
        <w:rPr>
          <w:rFonts w:ascii="Times New Roman" w:hAnsi="Times New Roman" w:cs="Times New Roman"/>
          <w:sz w:val="24"/>
          <w:szCs w:val="24"/>
        </w:rPr>
      </w:pPr>
      <w:r>
        <w:rPr>
          <w:rFonts w:ascii="Times New Roman" w:hAnsi="Times New Roman"/>
          <w:b/>
          <w:sz w:val="24"/>
        </w:rPr>
        <w:t xml:space="preserve">Банк – </w:t>
      </w:r>
      <w:r>
        <w:rPr>
          <w:rFonts w:ascii="Times New Roman" w:hAnsi="Times New Roman"/>
          <w:sz w:val="24"/>
        </w:rPr>
        <w:t>«Bereke Bank» АҚ (Lesha Bank LLC (Public) ЕБ), Акцияны ұйымдастырушы.</w:t>
      </w:r>
    </w:p>
    <w:p w:rsidR="00370E89" w:rsidRPr="001820A1" w:rsidRDefault="00370E89" w:rsidP="00370E89">
      <w:pPr>
        <w:pStyle w:val="aa"/>
        <w:rPr>
          <w:rFonts w:ascii="Times New Roman" w:hAnsi="Times New Roman"/>
          <w:b/>
          <w:sz w:val="24"/>
          <w:szCs w:val="24"/>
        </w:rPr>
      </w:pPr>
      <w:r>
        <w:rPr>
          <w:rFonts w:ascii="Times New Roman" w:hAnsi="Times New Roman"/>
          <w:b/>
          <w:sz w:val="24"/>
        </w:rPr>
        <w:t xml:space="preserve">Карта - </w:t>
      </w:r>
      <w:r>
        <w:rPr>
          <w:rFonts w:ascii="Times New Roman" w:hAnsi="Times New Roman"/>
          <w:sz w:val="24"/>
        </w:rPr>
        <w:t>Банк Клиенттің атына шығарған Mastercard World Elite премиум картасы (гаухартассыз).</w:t>
      </w:r>
    </w:p>
    <w:p w:rsidR="00370E89" w:rsidRPr="00CB4237" w:rsidRDefault="00370E89" w:rsidP="00370E89">
      <w:pPr>
        <w:spacing w:after="0" w:line="240" w:lineRule="auto"/>
        <w:jc w:val="both"/>
        <w:rPr>
          <w:rFonts w:ascii="Times New Roman" w:hAnsi="Times New Roman" w:cs="Times New Roman"/>
          <w:b/>
          <w:sz w:val="24"/>
          <w:szCs w:val="24"/>
        </w:rPr>
      </w:pPr>
      <w:r>
        <w:rPr>
          <w:rFonts w:ascii="Times New Roman" w:hAnsi="Times New Roman"/>
          <w:b/>
          <w:sz w:val="24"/>
        </w:rPr>
        <w:t>Акцияны өткізу кезеңі</w:t>
      </w:r>
      <w:r>
        <w:rPr>
          <w:rFonts w:ascii="Times New Roman" w:hAnsi="Times New Roman"/>
          <w:sz w:val="24"/>
        </w:rPr>
        <w:t xml:space="preserve"> - 0</w:t>
      </w:r>
      <w:r w:rsidR="0012438B" w:rsidRPr="0012438B">
        <w:rPr>
          <w:rFonts w:ascii="Times New Roman" w:hAnsi="Times New Roman"/>
          <w:sz w:val="24"/>
        </w:rPr>
        <w:t>1</w:t>
      </w:r>
      <w:r>
        <w:rPr>
          <w:rFonts w:ascii="Times New Roman" w:hAnsi="Times New Roman"/>
          <w:sz w:val="24"/>
        </w:rPr>
        <w:t>.0</w:t>
      </w:r>
      <w:r w:rsidR="0012438B" w:rsidRPr="0012438B">
        <w:rPr>
          <w:rFonts w:ascii="Times New Roman" w:hAnsi="Times New Roman"/>
          <w:sz w:val="24"/>
        </w:rPr>
        <w:t>5</w:t>
      </w:r>
      <w:r>
        <w:rPr>
          <w:rFonts w:ascii="Times New Roman" w:hAnsi="Times New Roman"/>
          <w:sz w:val="24"/>
        </w:rPr>
        <w:t>.2025 жылдан бастап 30.0</w:t>
      </w:r>
      <w:r w:rsidR="0012438B" w:rsidRPr="0012438B">
        <w:rPr>
          <w:rFonts w:ascii="Times New Roman" w:hAnsi="Times New Roman"/>
          <w:sz w:val="24"/>
        </w:rPr>
        <w:t>6</w:t>
      </w:r>
      <w:r>
        <w:rPr>
          <w:rFonts w:ascii="Times New Roman" w:hAnsi="Times New Roman"/>
          <w:sz w:val="24"/>
        </w:rPr>
        <w:t>.2025 жылға дейін.</w:t>
      </w:r>
    </w:p>
    <w:p w:rsidR="00370E89" w:rsidRPr="00CB4237" w:rsidRDefault="00370E89" w:rsidP="00370E89">
      <w:pPr>
        <w:spacing w:after="0" w:line="240" w:lineRule="auto"/>
        <w:jc w:val="both"/>
        <w:rPr>
          <w:rFonts w:ascii="Times New Roman" w:hAnsi="Times New Roman" w:cs="Times New Roman"/>
          <w:sz w:val="24"/>
          <w:szCs w:val="24"/>
        </w:rPr>
      </w:pPr>
      <w:r>
        <w:rPr>
          <w:rFonts w:ascii="Times New Roman" w:hAnsi="Times New Roman"/>
          <w:b/>
          <w:sz w:val="24"/>
        </w:rPr>
        <w:t xml:space="preserve">Premier Қызметтер пакеті (бұдан әрі – «ҚП») – </w:t>
      </w:r>
      <w:r>
        <w:rPr>
          <w:rFonts w:ascii="Times New Roman" w:hAnsi="Times New Roman"/>
          <w:sz w:val="24"/>
        </w:rPr>
        <w:t>ең көп сұранысқа ие банктік қызметтер мен өнімдер кіретін клиентке кешендік ұсыныс.</w:t>
      </w:r>
    </w:p>
    <w:p w:rsidR="00370E89" w:rsidRPr="00CB4237" w:rsidRDefault="00370E89" w:rsidP="00370E89">
      <w:pPr>
        <w:spacing w:after="0" w:line="240" w:lineRule="auto"/>
        <w:jc w:val="both"/>
        <w:rPr>
          <w:rFonts w:ascii="Times New Roman" w:hAnsi="Times New Roman" w:cs="Times New Roman"/>
          <w:sz w:val="24"/>
          <w:szCs w:val="24"/>
        </w:rPr>
      </w:pPr>
      <w:r>
        <w:rPr>
          <w:rFonts w:ascii="Times New Roman" w:hAnsi="Times New Roman"/>
          <w:b/>
          <w:sz w:val="24"/>
        </w:rPr>
        <w:t xml:space="preserve">Тарифтер </w:t>
      </w:r>
      <w:r>
        <w:rPr>
          <w:rFonts w:ascii="Times New Roman" w:hAnsi="Times New Roman"/>
          <w:sz w:val="24"/>
        </w:rPr>
        <w:t xml:space="preserve">- Банктің </w:t>
      </w:r>
      <w:hyperlink r:id="rId5" w:history="1">
        <w:r>
          <w:rPr>
            <w:rStyle w:val="a8"/>
            <w:rFonts w:ascii="Times New Roman" w:hAnsi="Times New Roman"/>
            <w:sz w:val="24"/>
          </w:rPr>
          <w:t>https://berekebank.kz/</w:t>
        </w:r>
      </w:hyperlink>
      <w:r>
        <w:rPr>
          <w:rFonts w:ascii="Times New Roman" w:hAnsi="Times New Roman"/>
          <w:sz w:val="24"/>
        </w:rPr>
        <w:t xml:space="preserve"> сайтында жарияланған Жеке тұлғаларға, Заңды тұлғаларға және Жеке кәсіпкерлерге қызмет көрсету тарифтері. </w:t>
      </w:r>
    </w:p>
    <w:p w:rsidR="0012438B" w:rsidRDefault="0012438B" w:rsidP="0012438B">
      <w:pPr>
        <w:pStyle w:val="aa"/>
        <w:rPr>
          <w:rFonts w:ascii="Times New Roman" w:hAnsi="Times New Roman"/>
          <w:bCs/>
          <w:sz w:val="24"/>
          <w:szCs w:val="24"/>
        </w:rPr>
      </w:pPr>
      <w:r>
        <w:rPr>
          <w:rFonts w:ascii="Times New Roman" w:hAnsi="Times New Roman"/>
          <w:b/>
          <w:bCs/>
          <w:sz w:val="24"/>
        </w:rPr>
        <w:t>Акция қатысушысы</w:t>
      </w:r>
      <w:r>
        <w:rPr>
          <w:rFonts w:ascii="Times New Roman" w:hAnsi="Times New Roman"/>
          <w:sz w:val="24"/>
        </w:rPr>
        <w:t xml:space="preserve"> - Premier Қызметтер пакеті аясында негізгі карта ашқан Банк клиенті.</w:t>
      </w:r>
    </w:p>
    <w:p w:rsidR="004D2F17" w:rsidRDefault="004D2F17" w:rsidP="004D2F17">
      <w:pPr>
        <w:pStyle w:val="aa"/>
        <w:rPr>
          <w:rFonts w:ascii="Times New Roman" w:hAnsi="Times New Roman"/>
          <w:sz w:val="24"/>
          <w:szCs w:val="24"/>
        </w:rPr>
      </w:pPr>
    </w:p>
    <w:p w:rsidR="0012438B" w:rsidRPr="007F572D" w:rsidRDefault="0012438B" w:rsidP="004D2F17">
      <w:pPr>
        <w:pStyle w:val="aa"/>
        <w:rPr>
          <w:rFonts w:ascii="Times New Roman" w:hAnsi="Times New Roman"/>
          <w:sz w:val="24"/>
          <w:szCs w:val="24"/>
        </w:rPr>
      </w:pPr>
    </w:p>
    <w:p w:rsidR="004D2F17" w:rsidRPr="00396BD6" w:rsidRDefault="00EA0905" w:rsidP="00F81B9F">
      <w:pPr>
        <w:pStyle w:val="a3"/>
        <w:numPr>
          <w:ilvl w:val="0"/>
          <w:numId w:val="19"/>
        </w:numPr>
        <w:spacing w:after="0" w:line="240" w:lineRule="auto"/>
        <w:rPr>
          <w:rFonts w:ascii="Times New Roman" w:hAnsi="Times New Roman" w:cs="Times New Roman"/>
          <w:b/>
          <w:sz w:val="24"/>
          <w:szCs w:val="24"/>
        </w:rPr>
      </w:pPr>
      <w:r>
        <w:rPr>
          <w:rFonts w:ascii="Times New Roman" w:hAnsi="Times New Roman"/>
          <w:b/>
          <w:sz w:val="24"/>
        </w:rPr>
        <w:t>Акция сипаттамасы:</w:t>
      </w:r>
    </w:p>
    <w:p w:rsidR="004A3C67" w:rsidRPr="00396BD6" w:rsidRDefault="004A3C67" w:rsidP="005C1944">
      <w:pPr>
        <w:tabs>
          <w:tab w:val="left" w:pos="426"/>
        </w:tabs>
        <w:spacing w:after="0" w:line="240" w:lineRule="auto"/>
        <w:jc w:val="center"/>
        <w:rPr>
          <w:rFonts w:ascii="Times New Roman" w:hAnsi="Times New Roman" w:cs="Times New Roman"/>
          <w:b/>
          <w:sz w:val="24"/>
          <w:szCs w:val="24"/>
        </w:rPr>
      </w:pPr>
    </w:p>
    <w:p w:rsidR="00AE21F4" w:rsidRDefault="00AE21F4" w:rsidP="00AE21F4">
      <w:pPr>
        <w:pStyle w:val="a3"/>
        <w:numPr>
          <w:ilvl w:val="1"/>
          <w:numId w:val="28"/>
        </w:numPr>
        <w:tabs>
          <w:tab w:val="left" w:pos="426"/>
        </w:tabs>
        <w:spacing w:after="0" w:line="240" w:lineRule="auto"/>
        <w:ind w:left="0" w:firstLine="0"/>
        <w:jc w:val="both"/>
        <w:rPr>
          <w:rFonts w:ascii="Times New Roman" w:hAnsi="Times New Roman"/>
          <w:bCs/>
          <w:sz w:val="24"/>
          <w:szCs w:val="24"/>
        </w:rPr>
      </w:pPr>
      <w:r>
        <w:rPr>
          <w:rFonts w:ascii="Times New Roman" w:hAnsi="Times New Roman"/>
          <w:sz w:val="24"/>
        </w:rPr>
        <w:t xml:space="preserve">Акция кезінде ашылған карталар бойынша клиент келесі талаптарға сай болған жағдайда «Premier» Қызметтер пакеті аясында негізгі төлем карталарына кешенді қызмет көрсету үшін комиссия премиум картаның қолданысының бірінші және екінші күнтізбелік айы үшін 0 теңгені құрайды: </w:t>
      </w:r>
    </w:p>
    <w:p w:rsidR="00AE21F4" w:rsidRDefault="00AE21F4" w:rsidP="00AE21F4">
      <w:pPr>
        <w:pStyle w:val="a3"/>
        <w:tabs>
          <w:tab w:val="left" w:pos="426"/>
        </w:tabs>
        <w:spacing w:line="252" w:lineRule="auto"/>
        <w:ind w:left="0" w:firstLine="567"/>
        <w:jc w:val="both"/>
        <w:rPr>
          <w:rFonts w:ascii="Times New Roman" w:hAnsi="Times New Roman"/>
          <w:bCs/>
          <w:sz w:val="24"/>
          <w:szCs w:val="24"/>
        </w:rPr>
      </w:pPr>
      <w:r>
        <w:rPr>
          <w:rFonts w:ascii="Times New Roman" w:hAnsi="Times New Roman"/>
          <w:sz w:val="24"/>
        </w:rPr>
        <w:t>- карта шығарылған сәтте Акция қатысушысының соңғы 12 айда Mastercard World Elite премиум картасының (гаухартассыз) болмауы.</w:t>
      </w:r>
    </w:p>
    <w:p w:rsidR="00AE21F4" w:rsidRDefault="00AE21F4" w:rsidP="00AE21F4">
      <w:pPr>
        <w:tabs>
          <w:tab w:val="left" w:pos="426"/>
        </w:tabs>
        <w:spacing w:after="0" w:line="240" w:lineRule="auto"/>
        <w:ind w:firstLine="567"/>
        <w:jc w:val="both"/>
        <w:rPr>
          <w:rFonts w:ascii="Times New Roman" w:eastAsia="Times New Roman" w:hAnsi="Times New Roman" w:cs="Times New Roman"/>
          <w:bCs/>
          <w:sz w:val="24"/>
          <w:szCs w:val="24"/>
        </w:rPr>
      </w:pPr>
      <w:r>
        <w:rPr>
          <w:rFonts w:ascii="Times New Roman" w:hAnsi="Times New Roman"/>
          <w:sz w:val="24"/>
        </w:rPr>
        <w:t>- Клиент үшін Акция бойынша тариф қолданыста болған кезеңде Акция қатысушысының Банкте ҚП рәсімдегеннен кейін 7 (жетінші) күннен кешіктірмей, 100 000 (жүз мың) теңгеден жоғары сомада немесе басқа валютадағы баламасында ашылған қолданыстағы салымының болуы.</w:t>
      </w:r>
    </w:p>
    <w:p w:rsidR="00AE21F4" w:rsidRDefault="00AE21F4" w:rsidP="00AE21F4">
      <w:pPr>
        <w:tabs>
          <w:tab w:val="left" w:pos="426"/>
        </w:tabs>
        <w:spacing w:after="0" w:line="240" w:lineRule="auto"/>
        <w:jc w:val="both"/>
        <w:rPr>
          <w:rFonts w:ascii="Times New Roman" w:hAnsi="Times New Roman"/>
          <w:b/>
          <w:sz w:val="24"/>
        </w:rPr>
      </w:pPr>
    </w:p>
    <w:p w:rsidR="00AE21F4" w:rsidRDefault="00AE21F4" w:rsidP="00AE21F4">
      <w:pPr>
        <w:pStyle w:val="a3"/>
        <w:numPr>
          <w:ilvl w:val="1"/>
          <w:numId w:val="28"/>
        </w:numPr>
        <w:tabs>
          <w:tab w:val="left" w:pos="426"/>
        </w:tabs>
        <w:spacing w:after="0" w:line="240" w:lineRule="auto"/>
        <w:ind w:left="0" w:firstLine="0"/>
        <w:jc w:val="both"/>
        <w:rPr>
          <w:rFonts w:ascii="Times New Roman" w:hAnsi="Times New Roman"/>
          <w:bCs/>
          <w:sz w:val="24"/>
          <w:szCs w:val="24"/>
        </w:rPr>
      </w:pPr>
      <w:r>
        <w:rPr>
          <w:rFonts w:ascii="Times New Roman" w:hAnsi="Times New Roman"/>
          <w:sz w:val="24"/>
        </w:rPr>
        <w:t>Акцияға қатысу талаптарын орындаған жағдайда ҚП аясында Картаға кешенді қызмет көрсету үшін комиссия картаның қолданыстағы бірінші және екінші айында алынбайды.</w:t>
      </w:r>
    </w:p>
    <w:p w:rsidR="00AE21F4" w:rsidRDefault="00AE21F4" w:rsidP="00AE21F4">
      <w:pPr>
        <w:pStyle w:val="a3"/>
        <w:numPr>
          <w:ilvl w:val="1"/>
          <w:numId w:val="28"/>
        </w:numPr>
        <w:tabs>
          <w:tab w:val="left" w:pos="426"/>
        </w:tabs>
        <w:spacing w:line="254" w:lineRule="auto"/>
        <w:ind w:left="0" w:firstLine="0"/>
        <w:jc w:val="both"/>
        <w:rPr>
          <w:rFonts w:ascii="Times New Roman" w:hAnsi="Times New Roman"/>
          <w:bCs/>
          <w:sz w:val="24"/>
          <w:szCs w:val="24"/>
        </w:rPr>
      </w:pPr>
      <w:r>
        <w:rPr>
          <w:rFonts w:ascii="Times New Roman" w:hAnsi="Times New Roman"/>
          <w:sz w:val="24"/>
        </w:rPr>
        <w:t xml:space="preserve"> Картаның қолданыстаға екінші айы аяқталғаннан кейін ҚП қызмет көрсету Банк Тарифтеріне сәйкес жүргізілетін болады.</w:t>
      </w:r>
    </w:p>
    <w:p w:rsidR="0012438B" w:rsidRDefault="0012438B" w:rsidP="00AE21F4">
      <w:pPr>
        <w:pStyle w:val="a3"/>
        <w:tabs>
          <w:tab w:val="left" w:pos="426"/>
        </w:tabs>
        <w:spacing w:line="254" w:lineRule="auto"/>
        <w:ind w:left="0"/>
        <w:jc w:val="both"/>
        <w:rPr>
          <w:rFonts w:ascii="Times New Roman" w:hAnsi="Times New Roman"/>
          <w:bCs/>
          <w:sz w:val="24"/>
          <w:szCs w:val="24"/>
        </w:rPr>
      </w:pPr>
      <w:bookmarkStart w:id="0" w:name="_GoBack"/>
      <w:bookmarkEnd w:id="0"/>
    </w:p>
    <w:p w:rsidR="00183935" w:rsidRPr="004D2F17" w:rsidRDefault="00183935" w:rsidP="00F9142A">
      <w:pPr>
        <w:pStyle w:val="a3"/>
        <w:spacing w:after="0" w:line="240" w:lineRule="auto"/>
        <w:ind w:left="0"/>
        <w:jc w:val="both"/>
        <w:rPr>
          <w:rFonts w:ascii="Times New Roman" w:hAnsi="Times New Roman"/>
          <w:bCs/>
          <w:sz w:val="24"/>
          <w:szCs w:val="24"/>
        </w:rPr>
      </w:pPr>
    </w:p>
    <w:p w:rsidR="00370E89" w:rsidRPr="00F81B9F" w:rsidRDefault="00370E89" w:rsidP="00F9142A">
      <w:pPr>
        <w:pStyle w:val="a3"/>
        <w:numPr>
          <w:ilvl w:val="0"/>
          <w:numId w:val="26"/>
        </w:numPr>
        <w:spacing w:after="0" w:line="240" w:lineRule="auto"/>
        <w:ind w:left="0" w:firstLine="0"/>
        <w:rPr>
          <w:rFonts w:ascii="Times New Roman" w:hAnsi="Times New Roman" w:cs="Times New Roman"/>
          <w:sz w:val="24"/>
          <w:szCs w:val="24"/>
        </w:rPr>
      </w:pPr>
      <w:r>
        <w:rPr>
          <w:rFonts w:ascii="Times New Roman" w:hAnsi="Times New Roman"/>
          <w:b/>
          <w:sz w:val="24"/>
        </w:rPr>
        <w:t>Басқа талаптар</w:t>
      </w:r>
    </w:p>
    <w:p w:rsidR="005C1944" w:rsidRPr="005C1944" w:rsidRDefault="00CB4237" w:rsidP="005C1944">
      <w:pPr>
        <w:pStyle w:val="a3"/>
        <w:numPr>
          <w:ilvl w:val="1"/>
          <w:numId w:val="26"/>
        </w:numPr>
        <w:tabs>
          <w:tab w:val="left" w:pos="426"/>
        </w:tabs>
        <w:spacing w:line="256" w:lineRule="auto"/>
        <w:ind w:left="0" w:firstLine="0"/>
        <w:jc w:val="both"/>
        <w:rPr>
          <w:rFonts w:ascii="Times New Roman" w:hAnsi="Times New Roman" w:cs="Times New Roman"/>
          <w:sz w:val="24"/>
          <w:szCs w:val="24"/>
        </w:rPr>
      </w:pPr>
      <w:r>
        <w:rPr>
          <w:rFonts w:ascii="Times New Roman" w:hAnsi="Times New Roman"/>
          <w:sz w:val="24"/>
        </w:rPr>
        <w:t xml:space="preserve">Банк Акция қатысушыларын Банктің https://www.berekebank.kz сайтында Ережелердің жаңа редакциясын жариялау арқылы хабарландыра отырып, Акция Ережелеріне өзгертулер енгізуге құқылы. Сонымен қатар Банк Акцияға қатысушыларға Ережеледің өзгеруі туралы маркетингтік және/немесе ақпараттық материалдарды ұсыну жолымен хабарландыруға да құқылы. </w:t>
      </w:r>
    </w:p>
    <w:p w:rsidR="00070749" w:rsidRPr="005C1944" w:rsidRDefault="00CB4237" w:rsidP="005C1944">
      <w:pPr>
        <w:pStyle w:val="a3"/>
        <w:numPr>
          <w:ilvl w:val="1"/>
          <w:numId w:val="26"/>
        </w:numPr>
        <w:tabs>
          <w:tab w:val="left" w:pos="426"/>
        </w:tabs>
        <w:spacing w:line="256" w:lineRule="auto"/>
        <w:ind w:left="0" w:firstLine="0"/>
        <w:jc w:val="both"/>
        <w:rPr>
          <w:rFonts w:ascii="Times New Roman" w:hAnsi="Times New Roman" w:cs="Times New Roman"/>
          <w:sz w:val="24"/>
          <w:szCs w:val="24"/>
        </w:rPr>
      </w:pPr>
      <w:r>
        <w:rPr>
          <w:rFonts w:ascii="Times New Roman" w:hAnsi="Times New Roman"/>
          <w:sz w:val="24"/>
        </w:rPr>
        <w:t xml:space="preserve">Акцияға қатысушылар Акция Ережелерімен және https://www.berekebank.kz мекенжайы бойынша орналасқан өзекті өзгертулермен өз бетінше танысады. </w:t>
      </w:r>
    </w:p>
    <w:p w:rsidR="00070749" w:rsidRDefault="00CB4237" w:rsidP="005C1944">
      <w:pPr>
        <w:pStyle w:val="a3"/>
        <w:numPr>
          <w:ilvl w:val="1"/>
          <w:numId w:val="27"/>
        </w:numPr>
        <w:tabs>
          <w:tab w:val="left" w:pos="426"/>
        </w:tabs>
        <w:spacing w:line="256" w:lineRule="auto"/>
        <w:ind w:left="0" w:firstLine="0"/>
        <w:jc w:val="both"/>
        <w:rPr>
          <w:rFonts w:ascii="Times New Roman" w:hAnsi="Times New Roman" w:cs="Times New Roman"/>
          <w:sz w:val="24"/>
          <w:szCs w:val="24"/>
        </w:rPr>
      </w:pPr>
      <w:r>
        <w:rPr>
          <w:rFonts w:ascii="Times New Roman" w:hAnsi="Times New Roman"/>
          <w:sz w:val="24"/>
        </w:rPr>
        <w:t>Банк еңсерілмейтін күш жағдайлары туындаған жағдайда Акция қатысушыларына мұндай шешім туралы алдын ала хабарландырмай, өз жеке қалауы бойынша Акцияны өткізуді біржақты тәртіппен тоқтату немесе уақытша тоқтата тұру құқығын өзіне қалдырады.</w:t>
      </w:r>
    </w:p>
    <w:p w:rsidR="00070749" w:rsidRDefault="00CB4237" w:rsidP="005C1944">
      <w:pPr>
        <w:pStyle w:val="a3"/>
        <w:numPr>
          <w:ilvl w:val="1"/>
          <w:numId w:val="27"/>
        </w:numPr>
        <w:tabs>
          <w:tab w:val="left" w:pos="426"/>
        </w:tabs>
        <w:spacing w:line="256" w:lineRule="auto"/>
        <w:ind w:left="0" w:firstLine="0"/>
        <w:jc w:val="both"/>
        <w:rPr>
          <w:rFonts w:ascii="Times New Roman" w:hAnsi="Times New Roman" w:cs="Times New Roman"/>
          <w:sz w:val="24"/>
          <w:szCs w:val="24"/>
        </w:rPr>
      </w:pPr>
      <w:r>
        <w:rPr>
          <w:rFonts w:ascii="Times New Roman" w:hAnsi="Times New Roman"/>
          <w:sz w:val="24"/>
        </w:rPr>
        <w:t>Банк Акция қатысушыларының Акцияға қатысуына байланысты пайда болуы мүмкін ақшалай залалдардың, ұсталымдардың және өзге де кез-келген шығындардың орнын толтырмайды және қайтармайды.</w:t>
      </w:r>
    </w:p>
    <w:p w:rsidR="00370E89" w:rsidRPr="00070749" w:rsidRDefault="00370E89" w:rsidP="005C1944">
      <w:pPr>
        <w:pStyle w:val="a3"/>
        <w:numPr>
          <w:ilvl w:val="1"/>
          <w:numId w:val="27"/>
        </w:numPr>
        <w:tabs>
          <w:tab w:val="left" w:pos="426"/>
        </w:tabs>
        <w:spacing w:line="256" w:lineRule="auto"/>
        <w:ind w:left="0" w:firstLine="0"/>
        <w:jc w:val="both"/>
        <w:rPr>
          <w:rFonts w:ascii="Times New Roman" w:hAnsi="Times New Roman" w:cs="Times New Roman"/>
          <w:sz w:val="24"/>
          <w:szCs w:val="24"/>
        </w:rPr>
      </w:pPr>
      <w:r>
        <w:rPr>
          <w:rFonts w:ascii="Times New Roman" w:hAnsi="Times New Roman"/>
          <w:sz w:val="24"/>
        </w:rPr>
        <w:t>Ережелерге кез келген өзгерістер мен толықтырулар Банк көрсеткен күннен бастап күшіне енеді және ҚП аясында Карта ұстаушыларына қатысты қолданылады. Ережелердің жаңа редакциясы күшіне енгеннен кейін Клиенттің ағымдағы шоттар бойынша/Карталарды пайдалана отырып операциялар жүргізуі Клиенттің жаңа Ережелермен келісуін білдіреді.</w:t>
      </w:r>
    </w:p>
    <w:p w:rsidR="00370E89" w:rsidRDefault="00370E89" w:rsidP="003F1E41">
      <w:pPr>
        <w:rPr>
          <w:rFonts w:ascii="Times New Roman" w:hAnsi="Times New Roman" w:cs="Times New Roman"/>
          <w:sz w:val="24"/>
          <w:szCs w:val="24"/>
        </w:rPr>
      </w:pPr>
    </w:p>
    <w:sectPr w:rsidR="00370E89" w:rsidSect="00AE244E">
      <w:pgSz w:w="11906" w:h="16838"/>
      <w:pgMar w:top="709"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6C3"/>
    <w:multiLevelType w:val="hybridMultilevel"/>
    <w:tmpl w:val="58B23CDC"/>
    <w:lvl w:ilvl="0" w:tplc="4FA86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20C05"/>
    <w:multiLevelType w:val="multilevel"/>
    <w:tmpl w:val="A5B6C5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20B3C"/>
    <w:multiLevelType w:val="multilevel"/>
    <w:tmpl w:val="162AAD5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6125292"/>
    <w:multiLevelType w:val="multilevel"/>
    <w:tmpl w:val="D8C47992"/>
    <w:lvl w:ilvl="0">
      <w:start w:val="1"/>
      <w:numFmt w:val="decimal"/>
      <w:lvlText w:val="%1)"/>
      <w:lvlJc w:val="left"/>
      <w:pPr>
        <w:ind w:left="928" w:hanging="360"/>
      </w:pPr>
      <w:rPr>
        <w:rFonts w:hint="default"/>
        <w:b w:val="0"/>
      </w:rPr>
    </w:lvl>
    <w:lvl w:ilvl="1">
      <w:start w:val="1"/>
      <w:numFmt w:val="decimal"/>
      <w:isLgl/>
      <w:lvlText w:val="%1.%2."/>
      <w:lvlJc w:val="left"/>
      <w:pPr>
        <w:ind w:left="1775" w:hanging="360"/>
      </w:pPr>
      <w:rPr>
        <w:rFonts w:hint="default"/>
        <w:color w:val="auto"/>
      </w:rPr>
    </w:lvl>
    <w:lvl w:ilvl="2">
      <w:start w:val="1"/>
      <w:numFmt w:val="decimal"/>
      <w:isLgl/>
      <w:lvlText w:val="%1.%2.%3."/>
      <w:lvlJc w:val="left"/>
      <w:pPr>
        <w:ind w:left="2982" w:hanging="720"/>
      </w:pPr>
      <w:rPr>
        <w:rFonts w:hint="default"/>
        <w:color w:val="auto"/>
      </w:rPr>
    </w:lvl>
    <w:lvl w:ilvl="3">
      <w:start w:val="1"/>
      <w:numFmt w:val="decimal"/>
      <w:isLgl/>
      <w:lvlText w:val="%1.%2.%3.%4."/>
      <w:lvlJc w:val="left"/>
      <w:pPr>
        <w:ind w:left="3829" w:hanging="720"/>
      </w:pPr>
      <w:rPr>
        <w:rFonts w:hint="default"/>
        <w:color w:val="auto"/>
      </w:rPr>
    </w:lvl>
    <w:lvl w:ilvl="4">
      <w:start w:val="1"/>
      <w:numFmt w:val="decimal"/>
      <w:isLgl/>
      <w:lvlText w:val="%1.%2.%3.%4.%5."/>
      <w:lvlJc w:val="left"/>
      <w:pPr>
        <w:ind w:left="5036" w:hanging="1080"/>
      </w:pPr>
      <w:rPr>
        <w:rFonts w:hint="default"/>
        <w:color w:val="auto"/>
      </w:rPr>
    </w:lvl>
    <w:lvl w:ilvl="5">
      <w:start w:val="1"/>
      <w:numFmt w:val="decimal"/>
      <w:isLgl/>
      <w:lvlText w:val="%1.%2.%3.%4.%5.%6."/>
      <w:lvlJc w:val="left"/>
      <w:pPr>
        <w:ind w:left="5883" w:hanging="1080"/>
      </w:pPr>
      <w:rPr>
        <w:rFonts w:hint="default"/>
        <w:color w:val="auto"/>
      </w:rPr>
    </w:lvl>
    <w:lvl w:ilvl="6">
      <w:start w:val="1"/>
      <w:numFmt w:val="decimal"/>
      <w:isLgl/>
      <w:lvlText w:val="%1.%2.%3.%4.%5.%6.%7."/>
      <w:lvlJc w:val="left"/>
      <w:pPr>
        <w:ind w:left="7090" w:hanging="1440"/>
      </w:pPr>
      <w:rPr>
        <w:rFonts w:hint="default"/>
        <w:color w:val="auto"/>
      </w:rPr>
    </w:lvl>
    <w:lvl w:ilvl="7">
      <w:start w:val="1"/>
      <w:numFmt w:val="decimal"/>
      <w:isLgl/>
      <w:lvlText w:val="%1.%2.%3.%4.%5.%6.%7.%8."/>
      <w:lvlJc w:val="left"/>
      <w:pPr>
        <w:ind w:left="7937" w:hanging="1440"/>
      </w:pPr>
      <w:rPr>
        <w:rFonts w:hint="default"/>
        <w:color w:val="auto"/>
      </w:rPr>
    </w:lvl>
    <w:lvl w:ilvl="8">
      <w:start w:val="1"/>
      <w:numFmt w:val="decimal"/>
      <w:isLgl/>
      <w:lvlText w:val="%1.%2.%3.%4.%5.%6.%7.%8.%9."/>
      <w:lvlJc w:val="left"/>
      <w:pPr>
        <w:ind w:left="9144" w:hanging="1800"/>
      </w:pPr>
      <w:rPr>
        <w:rFonts w:hint="default"/>
        <w:color w:val="auto"/>
      </w:rPr>
    </w:lvl>
  </w:abstractNum>
  <w:abstractNum w:abstractNumId="4" w15:restartNumberingAfterBreak="0">
    <w:nsid w:val="16F03C97"/>
    <w:multiLevelType w:val="multilevel"/>
    <w:tmpl w:val="4740C4F0"/>
    <w:lvl w:ilvl="0">
      <w:start w:val="1"/>
      <w:numFmt w:val="decimal"/>
      <w:lvlText w:val="%1."/>
      <w:lvlJc w:val="left"/>
      <w:pPr>
        <w:ind w:left="1069" w:hanging="360"/>
      </w:pPr>
      <w:rPr>
        <w:rFonts w:ascii="Times New Roman" w:eastAsia="Times New Roman" w:hAnsi="Times New Roman" w:cs="Times New Roman"/>
        <w:b/>
      </w:rPr>
    </w:lvl>
    <w:lvl w:ilvl="1">
      <w:start w:val="1"/>
      <w:numFmt w:val="decimal"/>
      <w:lvlText w:val="%2)"/>
      <w:lvlJc w:val="left"/>
      <w:pPr>
        <w:ind w:left="1211" w:hanging="360"/>
      </w:pPr>
      <w:rPr>
        <w:rFonts w:hint="default"/>
        <w:b w:val="0"/>
      </w:rPr>
    </w:lvl>
    <w:lvl w:ilvl="2">
      <w:start w:val="1"/>
      <w:numFmt w:val="lowerLetter"/>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86B7483"/>
    <w:multiLevelType w:val="multilevel"/>
    <w:tmpl w:val="61E62284"/>
    <w:lvl w:ilvl="0">
      <w:start w:val="1"/>
      <w:numFmt w:val="decimal"/>
      <w:lvlText w:val="%1."/>
      <w:lvlJc w:val="left"/>
      <w:pPr>
        <w:ind w:left="420" w:hanging="420"/>
      </w:pPr>
      <w:rPr>
        <w:rFonts w:cs="Times New Roman" w:hint="default"/>
      </w:rPr>
    </w:lvl>
    <w:lvl w:ilvl="1">
      <w:start w:val="1"/>
      <w:numFmt w:val="decimal"/>
      <w:lvlText w:val="2.%2."/>
      <w:lvlJc w:val="left"/>
      <w:pPr>
        <w:ind w:left="420" w:hanging="420"/>
      </w:pPr>
      <w:rPr>
        <w:rFonts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CAD1AE7"/>
    <w:multiLevelType w:val="hybridMultilevel"/>
    <w:tmpl w:val="A838DC02"/>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AD2C85"/>
    <w:multiLevelType w:val="hybridMultilevel"/>
    <w:tmpl w:val="95B249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E2903"/>
    <w:multiLevelType w:val="hybridMultilevel"/>
    <w:tmpl w:val="17BAAB6A"/>
    <w:lvl w:ilvl="0" w:tplc="49300ED4">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1506B0E"/>
    <w:multiLevelType w:val="hybridMultilevel"/>
    <w:tmpl w:val="EEBA1B44"/>
    <w:lvl w:ilvl="0" w:tplc="878688AE">
      <w:start w:val="5"/>
      <w:numFmt w:val="upperRoman"/>
      <w:lvlText w:val="%1."/>
      <w:lvlJc w:val="left"/>
      <w:pPr>
        <w:ind w:left="1080" w:hanging="72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B117A0"/>
    <w:multiLevelType w:val="multilevel"/>
    <w:tmpl w:val="1206E4F6"/>
    <w:lvl w:ilvl="0">
      <w:start w:val="1"/>
      <w:numFmt w:val="decimal"/>
      <w:lvlText w:val="%1."/>
      <w:lvlJc w:val="left"/>
      <w:pPr>
        <w:ind w:left="502"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0C1896"/>
    <w:multiLevelType w:val="hybridMultilevel"/>
    <w:tmpl w:val="D084045C"/>
    <w:lvl w:ilvl="0" w:tplc="44B8BB08">
      <w:start w:val="1"/>
      <w:numFmt w:val="decimal"/>
      <w:lvlText w:val="3.%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530B96"/>
    <w:multiLevelType w:val="multilevel"/>
    <w:tmpl w:val="33E4F8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8D6768"/>
    <w:multiLevelType w:val="hybridMultilevel"/>
    <w:tmpl w:val="1436B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2414D0"/>
    <w:multiLevelType w:val="hybridMultilevel"/>
    <w:tmpl w:val="729E9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F3046B"/>
    <w:multiLevelType w:val="hybridMultilevel"/>
    <w:tmpl w:val="77B60B42"/>
    <w:lvl w:ilvl="0" w:tplc="EA9E4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72C5E71"/>
    <w:multiLevelType w:val="hybridMultilevel"/>
    <w:tmpl w:val="95EE7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7EF0321"/>
    <w:multiLevelType w:val="hybridMultilevel"/>
    <w:tmpl w:val="17D222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F2546"/>
    <w:multiLevelType w:val="multilevel"/>
    <w:tmpl w:val="96AA7718"/>
    <w:lvl w:ilvl="0">
      <w:start w:val="1"/>
      <w:numFmt w:val="upperRoman"/>
      <w:lvlText w:val="%1."/>
      <w:lvlJc w:val="left"/>
      <w:pPr>
        <w:ind w:left="1571" w:hanging="72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7B165341"/>
    <w:multiLevelType w:val="hybridMultilevel"/>
    <w:tmpl w:val="EECA6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AF2C8B"/>
    <w:multiLevelType w:val="multilevel"/>
    <w:tmpl w:val="2E946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15:restartNumberingAfterBreak="0">
    <w:nsid w:val="7C9251C8"/>
    <w:multiLevelType w:val="hybridMultilevel"/>
    <w:tmpl w:val="E53CCB56"/>
    <w:lvl w:ilvl="0" w:tplc="3F02AD00">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DB302EB"/>
    <w:multiLevelType w:val="multilevel"/>
    <w:tmpl w:val="87B82F38"/>
    <w:lvl w:ilvl="0">
      <w:start w:val="3"/>
      <w:numFmt w:val="upperRoman"/>
      <w:lvlText w:val="%1."/>
      <w:lvlJc w:val="left"/>
      <w:pPr>
        <w:ind w:left="1429" w:hanging="720"/>
      </w:pPr>
      <w:rPr>
        <w:rFonts w:hint="default"/>
        <w:b/>
      </w:rPr>
    </w:lvl>
    <w:lvl w:ilvl="1">
      <w:start w:val="3"/>
      <w:numFmt w:val="decimal"/>
      <w:isLgl/>
      <w:lvlText w:val="%1.%2."/>
      <w:lvlJc w:val="left"/>
      <w:pPr>
        <w:ind w:left="1775" w:hanging="360"/>
      </w:pPr>
      <w:rPr>
        <w:rFonts w:hint="default"/>
        <w:color w:val="auto"/>
      </w:rPr>
    </w:lvl>
    <w:lvl w:ilvl="2">
      <w:start w:val="1"/>
      <w:numFmt w:val="decimal"/>
      <w:isLgl/>
      <w:lvlText w:val="%1.%2.%3."/>
      <w:lvlJc w:val="left"/>
      <w:pPr>
        <w:ind w:left="2841" w:hanging="720"/>
      </w:pPr>
      <w:rPr>
        <w:rFonts w:hint="default"/>
        <w:color w:val="auto"/>
      </w:rPr>
    </w:lvl>
    <w:lvl w:ilvl="3">
      <w:start w:val="1"/>
      <w:numFmt w:val="decimal"/>
      <w:isLgl/>
      <w:lvlText w:val="%1.%2.%3.%4."/>
      <w:lvlJc w:val="left"/>
      <w:pPr>
        <w:ind w:left="3547" w:hanging="720"/>
      </w:pPr>
      <w:rPr>
        <w:rFonts w:hint="default"/>
        <w:color w:val="auto"/>
      </w:rPr>
    </w:lvl>
    <w:lvl w:ilvl="4">
      <w:start w:val="1"/>
      <w:numFmt w:val="decimal"/>
      <w:isLgl/>
      <w:lvlText w:val="%1.%2.%3.%4.%5."/>
      <w:lvlJc w:val="left"/>
      <w:pPr>
        <w:ind w:left="4613" w:hanging="1080"/>
      </w:pPr>
      <w:rPr>
        <w:rFonts w:hint="default"/>
        <w:color w:val="auto"/>
      </w:rPr>
    </w:lvl>
    <w:lvl w:ilvl="5">
      <w:start w:val="1"/>
      <w:numFmt w:val="decimal"/>
      <w:isLgl/>
      <w:lvlText w:val="%1.%2.%3.%4.%5.%6."/>
      <w:lvlJc w:val="left"/>
      <w:pPr>
        <w:ind w:left="5319" w:hanging="1080"/>
      </w:pPr>
      <w:rPr>
        <w:rFonts w:hint="default"/>
        <w:color w:val="auto"/>
      </w:rPr>
    </w:lvl>
    <w:lvl w:ilvl="6">
      <w:start w:val="1"/>
      <w:numFmt w:val="decimal"/>
      <w:isLgl/>
      <w:lvlText w:val="%1.%2.%3.%4.%5.%6.%7."/>
      <w:lvlJc w:val="left"/>
      <w:pPr>
        <w:ind w:left="6385" w:hanging="1440"/>
      </w:pPr>
      <w:rPr>
        <w:rFonts w:hint="default"/>
        <w:color w:val="auto"/>
      </w:rPr>
    </w:lvl>
    <w:lvl w:ilvl="7">
      <w:start w:val="1"/>
      <w:numFmt w:val="decimal"/>
      <w:isLgl/>
      <w:lvlText w:val="%1.%2.%3.%4.%5.%6.%7.%8."/>
      <w:lvlJc w:val="left"/>
      <w:pPr>
        <w:ind w:left="7091" w:hanging="1440"/>
      </w:pPr>
      <w:rPr>
        <w:rFonts w:hint="default"/>
        <w:color w:val="auto"/>
      </w:rPr>
    </w:lvl>
    <w:lvl w:ilvl="8">
      <w:start w:val="1"/>
      <w:numFmt w:val="decimal"/>
      <w:isLgl/>
      <w:lvlText w:val="%1.%2.%3.%4.%5.%6.%7.%8.%9."/>
      <w:lvlJc w:val="left"/>
      <w:pPr>
        <w:ind w:left="8157" w:hanging="1800"/>
      </w:pPr>
      <w:rPr>
        <w:rFonts w:hint="default"/>
        <w:color w:val="auto"/>
      </w:rPr>
    </w:lvl>
  </w:abstractNum>
  <w:abstractNum w:abstractNumId="23" w15:restartNumberingAfterBreak="0">
    <w:nsid w:val="7F901B6E"/>
    <w:multiLevelType w:val="multilevel"/>
    <w:tmpl w:val="F8987E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13"/>
  </w:num>
  <w:num w:numId="4">
    <w:abstractNumId w:val="0"/>
  </w:num>
  <w:num w:numId="5">
    <w:abstractNumId w:val="14"/>
  </w:num>
  <w:num w:numId="6">
    <w:abstractNumId w:val="6"/>
  </w:num>
  <w:num w:numId="7">
    <w:abstractNumId w:val="11"/>
  </w:num>
  <w:num w:numId="8">
    <w:abstractNumId w:val="17"/>
  </w:num>
  <w:num w:numId="9">
    <w:abstractNumId w:val="21"/>
  </w:num>
  <w:num w:numId="10">
    <w:abstractNumId w:val="18"/>
  </w:num>
  <w:num w:numId="11">
    <w:abstractNumId w:val="22"/>
  </w:num>
  <w:num w:numId="12">
    <w:abstractNumId w:val="9"/>
  </w:num>
  <w:num w:numId="13">
    <w:abstractNumId w:val="3"/>
  </w:num>
  <w:num w:numId="14">
    <w:abstractNumId w:val="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19"/>
  </w:num>
  <w:num w:numId="22">
    <w:abstractNumId w:val="7"/>
  </w:num>
  <w:num w:numId="23">
    <w:abstractNumId w:val="23"/>
  </w:num>
  <w:num w:numId="24">
    <w:abstractNumId w:val="1"/>
  </w:num>
  <w:num w:numId="25">
    <w:abstractNumId w:val="20"/>
  </w:num>
  <w:num w:numId="26">
    <w:abstractNumId w:val="10"/>
  </w:num>
  <w:num w:numId="27">
    <w:abstractNumId w:val="1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E3"/>
    <w:rsid w:val="00000092"/>
    <w:rsid w:val="00004D1D"/>
    <w:rsid w:val="00015C6B"/>
    <w:rsid w:val="00017B60"/>
    <w:rsid w:val="0002065B"/>
    <w:rsid w:val="0003200D"/>
    <w:rsid w:val="00032AF8"/>
    <w:rsid w:val="00037124"/>
    <w:rsid w:val="000470BB"/>
    <w:rsid w:val="00070749"/>
    <w:rsid w:val="00077DD6"/>
    <w:rsid w:val="00082175"/>
    <w:rsid w:val="00082EF3"/>
    <w:rsid w:val="000A0703"/>
    <w:rsid w:val="000B78E8"/>
    <w:rsid w:val="000D354F"/>
    <w:rsid w:val="000E560D"/>
    <w:rsid w:val="0012422C"/>
    <w:rsid w:val="0012438B"/>
    <w:rsid w:val="00135C75"/>
    <w:rsid w:val="00141BD4"/>
    <w:rsid w:val="001508FF"/>
    <w:rsid w:val="00173F01"/>
    <w:rsid w:val="001820A1"/>
    <w:rsid w:val="00183935"/>
    <w:rsid w:val="001A16FC"/>
    <w:rsid w:val="001C7554"/>
    <w:rsid w:val="001C7DFE"/>
    <w:rsid w:val="001F6FB5"/>
    <w:rsid w:val="0020673D"/>
    <w:rsid w:val="002415A5"/>
    <w:rsid w:val="00243996"/>
    <w:rsid w:val="00245AD8"/>
    <w:rsid w:val="0025135E"/>
    <w:rsid w:val="002728F0"/>
    <w:rsid w:val="00285BBD"/>
    <w:rsid w:val="002A4B1E"/>
    <w:rsid w:val="002B3ED7"/>
    <w:rsid w:val="002D770D"/>
    <w:rsid w:val="002F4A8B"/>
    <w:rsid w:val="003005CD"/>
    <w:rsid w:val="0030625C"/>
    <w:rsid w:val="00370E89"/>
    <w:rsid w:val="003919B5"/>
    <w:rsid w:val="00393390"/>
    <w:rsid w:val="00396BD6"/>
    <w:rsid w:val="003A4B60"/>
    <w:rsid w:val="003B17DE"/>
    <w:rsid w:val="003D6F7F"/>
    <w:rsid w:val="003E7DD7"/>
    <w:rsid w:val="003F1E41"/>
    <w:rsid w:val="0040357F"/>
    <w:rsid w:val="00403843"/>
    <w:rsid w:val="0041372B"/>
    <w:rsid w:val="0043292B"/>
    <w:rsid w:val="00432A7B"/>
    <w:rsid w:val="00453170"/>
    <w:rsid w:val="004857DB"/>
    <w:rsid w:val="00494F0B"/>
    <w:rsid w:val="00496319"/>
    <w:rsid w:val="004A3C67"/>
    <w:rsid w:val="004B0B48"/>
    <w:rsid w:val="004B6A84"/>
    <w:rsid w:val="004D2F17"/>
    <w:rsid w:val="004D76B3"/>
    <w:rsid w:val="0053621D"/>
    <w:rsid w:val="005B251C"/>
    <w:rsid w:val="005C1944"/>
    <w:rsid w:val="005C3BF2"/>
    <w:rsid w:val="005F2418"/>
    <w:rsid w:val="006020E5"/>
    <w:rsid w:val="00675E70"/>
    <w:rsid w:val="00706667"/>
    <w:rsid w:val="00716A75"/>
    <w:rsid w:val="0072358D"/>
    <w:rsid w:val="00723B34"/>
    <w:rsid w:val="00773438"/>
    <w:rsid w:val="007A6A46"/>
    <w:rsid w:val="007B1809"/>
    <w:rsid w:val="007B40EC"/>
    <w:rsid w:val="007F4B63"/>
    <w:rsid w:val="007F572D"/>
    <w:rsid w:val="008012D6"/>
    <w:rsid w:val="008117E4"/>
    <w:rsid w:val="00813FB0"/>
    <w:rsid w:val="00816255"/>
    <w:rsid w:val="00837BEA"/>
    <w:rsid w:val="00852397"/>
    <w:rsid w:val="00891155"/>
    <w:rsid w:val="008B2E20"/>
    <w:rsid w:val="008B3208"/>
    <w:rsid w:val="008B350E"/>
    <w:rsid w:val="0094206D"/>
    <w:rsid w:val="00960029"/>
    <w:rsid w:val="009A4542"/>
    <w:rsid w:val="009F2A50"/>
    <w:rsid w:val="009F4B82"/>
    <w:rsid w:val="00A0628F"/>
    <w:rsid w:val="00A3427F"/>
    <w:rsid w:val="00A4084A"/>
    <w:rsid w:val="00A56B72"/>
    <w:rsid w:val="00A835CD"/>
    <w:rsid w:val="00A96B32"/>
    <w:rsid w:val="00AE21F4"/>
    <w:rsid w:val="00AE244E"/>
    <w:rsid w:val="00B209E0"/>
    <w:rsid w:val="00B23572"/>
    <w:rsid w:val="00B53992"/>
    <w:rsid w:val="00B61F80"/>
    <w:rsid w:val="00B720BD"/>
    <w:rsid w:val="00BA0081"/>
    <w:rsid w:val="00BB4528"/>
    <w:rsid w:val="00BB7D15"/>
    <w:rsid w:val="00BC65E3"/>
    <w:rsid w:val="00BD2E98"/>
    <w:rsid w:val="00BF7207"/>
    <w:rsid w:val="00C05C71"/>
    <w:rsid w:val="00C2125C"/>
    <w:rsid w:val="00C356C5"/>
    <w:rsid w:val="00C76C2D"/>
    <w:rsid w:val="00C859F3"/>
    <w:rsid w:val="00CB4237"/>
    <w:rsid w:val="00CC08FC"/>
    <w:rsid w:val="00D05F42"/>
    <w:rsid w:val="00D55097"/>
    <w:rsid w:val="00D568EF"/>
    <w:rsid w:val="00D63E54"/>
    <w:rsid w:val="00D82B8D"/>
    <w:rsid w:val="00DA020C"/>
    <w:rsid w:val="00DB4C36"/>
    <w:rsid w:val="00DB7689"/>
    <w:rsid w:val="00DC593C"/>
    <w:rsid w:val="00DF284C"/>
    <w:rsid w:val="00DF53DE"/>
    <w:rsid w:val="00E127BE"/>
    <w:rsid w:val="00E37B9D"/>
    <w:rsid w:val="00E55DA3"/>
    <w:rsid w:val="00E9232C"/>
    <w:rsid w:val="00EA0905"/>
    <w:rsid w:val="00EB0C32"/>
    <w:rsid w:val="00EB3B5F"/>
    <w:rsid w:val="00EF1E7E"/>
    <w:rsid w:val="00F1126A"/>
    <w:rsid w:val="00F3695C"/>
    <w:rsid w:val="00F56583"/>
    <w:rsid w:val="00F657A6"/>
    <w:rsid w:val="00F7788F"/>
    <w:rsid w:val="00F81B9F"/>
    <w:rsid w:val="00F9142A"/>
    <w:rsid w:val="00FA2EDD"/>
    <w:rsid w:val="00FC5253"/>
    <w:rsid w:val="00FF6B82"/>
    <w:rsid w:val="00FF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6CE0"/>
  <w15:chartTrackingRefBased/>
  <w15:docId w15:val="{1EA7BD97-EAFE-478F-B689-C9D1D525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70E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Жулдызбек,Абзац,Bullets,References,List Paragraph (numbered (a)),NUMBERED PARAGRAPH,List Paragraph 1,List_Paragraph,Multilevel para_II,Akapit z listą BS,IBL List Paragraph,List Paragraph nowy,Numbered List Paragraph,Bullet1,Numbered list,1"/>
    <w:basedOn w:val="a"/>
    <w:link w:val="a4"/>
    <w:uiPriority w:val="34"/>
    <w:qFormat/>
    <w:rsid w:val="00BC65E3"/>
    <w:pPr>
      <w:ind w:left="720"/>
      <w:contextualSpacing/>
    </w:pPr>
  </w:style>
  <w:style w:type="paragraph" w:styleId="a5">
    <w:name w:val="Balloon Text"/>
    <w:basedOn w:val="a"/>
    <w:link w:val="a6"/>
    <w:uiPriority w:val="99"/>
    <w:semiHidden/>
    <w:unhideWhenUsed/>
    <w:rsid w:val="00082EF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2EF3"/>
    <w:rPr>
      <w:rFonts w:ascii="Segoe UI" w:hAnsi="Segoe UI" w:cs="Segoe UI"/>
      <w:sz w:val="18"/>
      <w:szCs w:val="18"/>
    </w:rPr>
  </w:style>
  <w:style w:type="character" w:customStyle="1" w:styleId="a4">
    <w:name w:val="Абзац списка Знак"/>
    <w:aliases w:val="Жулдызбек Знак,Абзац Знак,Bullets Знак,References Знак,List Paragraph (numbered (a)) Знак,NUMBERED PARAGRAPH Знак,List Paragraph 1 Знак,List_Paragraph Знак,Multilevel para_II Знак,Akapit z listą BS Знак,IBL List Paragraph Знак,1 Знак"/>
    <w:link w:val="a3"/>
    <w:uiPriority w:val="34"/>
    <w:qFormat/>
    <w:locked/>
    <w:rsid w:val="005C3BF2"/>
  </w:style>
  <w:style w:type="paragraph" w:styleId="a7">
    <w:name w:val="No Spacing"/>
    <w:uiPriority w:val="1"/>
    <w:qFormat/>
    <w:rsid w:val="001C7DFE"/>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000092"/>
    <w:rPr>
      <w:color w:val="0563C1" w:themeColor="hyperlink"/>
      <w:u w:val="single"/>
    </w:rPr>
  </w:style>
  <w:style w:type="character" w:styleId="a9">
    <w:name w:val="annotation reference"/>
    <w:basedOn w:val="a0"/>
    <w:uiPriority w:val="99"/>
    <w:semiHidden/>
    <w:unhideWhenUsed/>
    <w:rsid w:val="00000092"/>
    <w:rPr>
      <w:sz w:val="16"/>
      <w:szCs w:val="16"/>
    </w:rPr>
  </w:style>
  <w:style w:type="paragraph" w:styleId="aa">
    <w:name w:val="footer"/>
    <w:basedOn w:val="a"/>
    <w:link w:val="ab"/>
    <w:uiPriority w:val="99"/>
    <w:unhideWhenUsed/>
    <w:rsid w:val="00000092"/>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000092"/>
    <w:rPr>
      <w:rFonts w:ascii="Calibri" w:eastAsia="Times New Roman" w:hAnsi="Calibri" w:cs="Times New Roman"/>
    </w:rPr>
  </w:style>
  <w:style w:type="paragraph" w:styleId="ac">
    <w:name w:val="annotation text"/>
    <w:basedOn w:val="a"/>
    <w:link w:val="ad"/>
    <w:uiPriority w:val="99"/>
    <w:semiHidden/>
    <w:unhideWhenUsed/>
    <w:rsid w:val="00000092"/>
    <w:pPr>
      <w:spacing w:line="240" w:lineRule="auto"/>
    </w:pPr>
    <w:rPr>
      <w:sz w:val="20"/>
      <w:szCs w:val="20"/>
    </w:rPr>
  </w:style>
  <w:style w:type="character" w:customStyle="1" w:styleId="ad">
    <w:name w:val="Текст примечания Знак"/>
    <w:basedOn w:val="a0"/>
    <w:link w:val="ac"/>
    <w:uiPriority w:val="99"/>
    <w:semiHidden/>
    <w:rsid w:val="00000092"/>
    <w:rPr>
      <w:sz w:val="20"/>
      <w:szCs w:val="20"/>
    </w:rPr>
  </w:style>
  <w:style w:type="paragraph" w:customStyle="1" w:styleId="Default">
    <w:name w:val="Default"/>
    <w:rsid w:val="00000092"/>
    <w:pPr>
      <w:autoSpaceDE w:val="0"/>
      <w:autoSpaceDN w:val="0"/>
      <w:adjustRightInd w:val="0"/>
      <w:spacing w:after="0" w:line="240" w:lineRule="auto"/>
    </w:pPr>
    <w:rPr>
      <w:rFonts w:ascii="Arial" w:eastAsia="Calibri" w:hAnsi="Arial" w:cs="Arial"/>
      <w:color w:val="000000"/>
      <w:sz w:val="24"/>
      <w:szCs w:val="24"/>
      <w:lang w:eastAsia="ru-RU"/>
    </w:rPr>
  </w:style>
  <w:style w:type="table" w:styleId="ae">
    <w:name w:val="Table Grid"/>
    <w:basedOn w:val="a1"/>
    <w:uiPriority w:val="39"/>
    <w:rsid w:val="00BB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70E8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8927">
      <w:bodyDiv w:val="1"/>
      <w:marLeft w:val="0"/>
      <w:marRight w:val="0"/>
      <w:marTop w:val="0"/>
      <w:marBottom w:val="0"/>
      <w:divBdr>
        <w:top w:val="none" w:sz="0" w:space="0" w:color="auto"/>
        <w:left w:val="none" w:sz="0" w:space="0" w:color="auto"/>
        <w:bottom w:val="none" w:sz="0" w:space="0" w:color="auto"/>
        <w:right w:val="none" w:sz="0" w:space="0" w:color="auto"/>
      </w:divBdr>
    </w:div>
    <w:div w:id="194465349">
      <w:bodyDiv w:val="1"/>
      <w:marLeft w:val="0"/>
      <w:marRight w:val="0"/>
      <w:marTop w:val="0"/>
      <w:marBottom w:val="0"/>
      <w:divBdr>
        <w:top w:val="none" w:sz="0" w:space="0" w:color="auto"/>
        <w:left w:val="none" w:sz="0" w:space="0" w:color="auto"/>
        <w:bottom w:val="none" w:sz="0" w:space="0" w:color="auto"/>
        <w:right w:val="none" w:sz="0" w:space="0" w:color="auto"/>
      </w:divBdr>
    </w:div>
    <w:div w:id="408892131">
      <w:bodyDiv w:val="1"/>
      <w:marLeft w:val="0"/>
      <w:marRight w:val="0"/>
      <w:marTop w:val="0"/>
      <w:marBottom w:val="0"/>
      <w:divBdr>
        <w:top w:val="none" w:sz="0" w:space="0" w:color="auto"/>
        <w:left w:val="none" w:sz="0" w:space="0" w:color="auto"/>
        <w:bottom w:val="none" w:sz="0" w:space="0" w:color="auto"/>
        <w:right w:val="none" w:sz="0" w:space="0" w:color="auto"/>
      </w:divBdr>
    </w:div>
    <w:div w:id="514805287">
      <w:bodyDiv w:val="1"/>
      <w:marLeft w:val="0"/>
      <w:marRight w:val="0"/>
      <w:marTop w:val="0"/>
      <w:marBottom w:val="0"/>
      <w:divBdr>
        <w:top w:val="none" w:sz="0" w:space="0" w:color="auto"/>
        <w:left w:val="none" w:sz="0" w:space="0" w:color="auto"/>
        <w:bottom w:val="none" w:sz="0" w:space="0" w:color="auto"/>
        <w:right w:val="none" w:sz="0" w:space="0" w:color="auto"/>
      </w:divBdr>
    </w:div>
    <w:div w:id="628516668">
      <w:bodyDiv w:val="1"/>
      <w:marLeft w:val="0"/>
      <w:marRight w:val="0"/>
      <w:marTop w:val="0"/>
      <w:marBottom w:val="0"/>
      <w:divBdr>
        <w:top w:val="none" w:sz="0" w:space="0" w:color="auto"/>
        <w:left w:val="none" w:sz="0" w:space="0" w:color="auto"/>
        <w:bottom w:val="none" w:sz="0" w:space="0" w:color="auto"/>
        <w:right w:val="none" w:sz="0" w:space="0" w:color="auto"/>
      </w:divBdr>
    </w:div>
    <w:div w:id="652683146">
      <w:bodyDiv w:val="1"/>
      <w:marLeft w:val="0"/>
      <w:marRight w:val="0"/>
      <w:marTop w:val="0"/>
      <w:marBottom w:val="0"/>
      <w:divBdr>
        <w:top w:val="none" w:sz="0" w:space="0" w:color="auto"/>
        <w:left w:val="none" w:sz="0" w:space="0" w:color="auto"/>
        <w:bottom w:val="none" w:sz="0" w:space="0" w:color="auto"/>
        <w:right w:val="none" w:sz="0" w:space="0" w:color="auto"/>
      </w:divBdr>
    </w:div>
    <w:div w:id="877476549">
      <w:bodyDiv w:val="1"/>
      <w:marLeft w:val="0"/>
      <w:marRight w:val="0"/>
      <w:marTop w:val="0"/>
      <w:marBottom w:val="0"/>
      <w:divBdr>
        <w:top w:val="none" w:sz="0" w:space="0" w:color="auto"/>
        <w:left w:val="none" w:sz="0" w:space="0" w:color="auto"/>
        <w:bottom w:val="none" w:sz="0" w:space="0" w:color="auto"/>
        <w:right w:val="none" w:sz="0" w:space="0" w:color="auto"/>
      </w:divBdr>
    </w:div>
    <w:div w:id="937830079">
      <w:bodyDiv w:val="1"/>
      <w:marLeft w:val="0"/>
      <w:marRight w:val="0"/>
      <w:marTop w:val="0"/>
      <w:marBottom w:val="0"/>
      <w:divBdr>
        <w:top w:val="none" w:sz="0" w:space="0" w:color="auto"/>
        <w:left w:val="none" w:sz="0" w:space="0" w:color="auto"/>
        <w:bottom w:val="none" w:sz="0" w:space="0" w:color="auto"/>
        <w:right w:val="none" w:sz="0" w:space="0" w:color="auto"/>
      </w:divBdr>
    </w:div>
    <w:div w:id="1012879717">
      <w:bodyDiv w:val="1"/>
      <w:marLeft w:val="0"/>
      <w:marRight w:val="0"/>
      <w:marTop w:val="0"/>
      <w:marBottom w:val="0"/>
      <w:divBdr>
        <w:top w:val="none" w:sz="0" w:space="0" w:color="auto"/>
        <w:left w:val="none" w:sz="0" w:space="0" w:color="auto"/>
        <w:bottom w:val="none" w:sz="0" w:space="0" w:color="auto"/>
        <w:right w:val="none" w:sz="0" w:space="0" w:color="auto"/>
      </w:divBdr>
    </w:div>
    <w:div w:id="1229851055">
      <w:bodyDiv w:val="1"/>
      <w:marLeft w:val="0"/>
      <w:marRight w:val="0"/>
      <w:marTop w:val="0"/>
      <w:marBottom w:val="0"/>
      <w:divBdr>
        <w:top w:val="none" w:sz="0" w:space="0" w:color="auto"/>
        <w:left w:val="none" w:sz="0" w:space="0" w:color="auto"/>
        <w:bottom w:val="none" w:sz="0" w:space="0" w:color="auto"/>
        <w:right w:val="none" w:sz="0" w:space="0" w:color="auto"/>
      </w:divBdr>
    </w:div>
    <w:div w:id="1320040760">
      <w:bodyDiv w:val="1"/>
      <w:marLeft w:val="0"/>
      <w:marRight w:val="0"/>
      <w:marTop w:val="0"/>
      <w:marBottom w:val="0"/>
      <w:divBdr>
        <w:top w:val="none" w:sz="0" w:space="0" w:color="auto"/>
        <w:left w:val="none" w:sz="0" w:space="0" w:color="auto"/>
        <w:bottom w:val="none" w:sz="0" w:space="0" w:color="auto"/>
        <w:right w:val="none" w:sz="0" w:space="0" w:color="auto"/>
      </w:divBdr>
    </w:div>
    <w:div w:id="1624966637">
      <w:bodyDiv w:val="1"/>
      <w:marLeft w:val="0"/>
      <w:marRight w:val="0"/>
      <w:marTop w:val="0"/>
      <w:marBottom w:val="0"/>
      <w:divBdr>
        <w:top w:val="none" w:sz="0" w:space="0" w:color="auto"/>
        <w:left w:val="none" w:sz="0" w:space="0" w:color="auto"/>
        <w:bottom w:val="none" w:sz="0" w:space="0" w:color="auto"/>
        <w:right w:val="none" w:sz="0" w:space="0" w:color="auto"/>
      </w:divBdr>
    </w:div>
    <w:div w:id="1687097016">
      <w:bodyDiv w:val="1"/>
      <w:marLeft w:val="0"/>
      <w:marRight w:val="0"/>
      <w:marTop w:val="0"/>
      <w:marBottom w:val="0"/>
      <w:divBdr>
        <w:top w:val="none" w:sz="0" w:space="0" w:color="auto"/>
        <w:left w:val="none" w:sz="0" w:space="0" w:color="auto"/>
        <w:bottom w:val="none" w:sz="0" w:space="0" w:color="auto"/>
        <w:right w:val="none" w:sz="0" w:space="0" w:color="auto"/>
      </w:divBdr>
    </w:div>
    <w:div w:id="1727727392">
      <w:bodyDiv w:val="1"/>
      <w:marLeft w:val="0"/>
      <w:marRight w:val="0"/>
      <w:marTop w:val="0"/>
      <w:marBottom w:val="0"/>
      <w:divBdr>
        <w:top w:val="none" w:sz="0" w:space="0" w:color="auto"/>
        <w:left w:val="none" w:sz="0" w:space="0" w:color="auto"/>
        <w:bottom w:val="none" w:sz="0" w:space="0" w:color="auto"/>
        <w:right w:val="none" w:sz="0" w:space="0" w:color="auto"/>
      </w:divBdr>
    </w:div>
    <w:div w:id="1829327396">
      <w:bodyDiv w:val="1"/>
      <w:marLeft w:val="0"/>
      <w:marRight w:val="0"/>
      <w:marTop w:val="0"/>
      <w:marBottom w:val="0"/>
      <w:divBdr>
        <w:top w:val="none" w:sz="0" w:space="0" w:color="auto"/>
        <w:left w:val="none" w:sz="0" w:space="0" w:color="auto"/>
        <w:bottom w:val="none" w:sz="0" w:space="0" w:color="auto"/>
        <w:right w:val="none" w:sz="0" w:space="0" w:color="auto"/>
      </w:divBdr>
    </w:div>
    <w:div w:id="1874876884">
      <w:bodyDiv w:val="1"/>
      <w:marLeft w:val="0"/>
      <w:marRight w:val="0"/>
      <w:marTop w:val="0"/>
      <w:marBottom w:val="0"/>
      <w:divBdr>
        <w:top w:val="none" w:sz="0" w:space="0" w:color="auto"/>
        <w:left w:val="none" w:sz="0" w:space="0" w:color="auto"/>
        <w:bottom w:val="none" w:sz="0" w:space="0" w:color="auto"/>
        <w:right w:val="none" w:sz="0" w:space="0" w:color="auto"/>
      </w:divBdr>
    </w:div>
    <w:div w:id="204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rekebank.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2740</Characters>
  <Application>Microsoft Office Word</Application>
  <DocSecurity>0</DocSecurity>
  <Lines>50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Аусенова Динара</dc:creator>
  <cp:keywords/>
  <dc:description/>
  <cp:lastModifiedBy>Аусенова Динара</cp:lastModifiedBy>
  <cp:revision>3</cp:revision>
  <cp:lastPrinted>2024-10-04T11:53:00Z</cp:lastPrinted>
  <dcterms:created xsi:type="dcterms:W3CDTF">2025-05-16T13:18:00Z</dcterms:created>
  <dcterms:modified xsi:type="dcterms:W3CDTF">2025-05-16T13:20:00Z</dcterms:modified>
</cp:coreProperties>
</file>